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5ADAA5" w14:textId="77777777" w:rsidR="00DE001E" w:rsidRPr="00E622D5" w:rsidRDefault="00DE001E">
      <w:pPr>
        <w:spacing w:before="1" w:line="300" w:lineRule="auto"/>
        <w:ind w:left="23" w:right="17"/>
        <w:jc w:val="both"/>
        <w:rPr>
          <w:sz w:val="20"/>
          <w:szCs w:val="20"/>
          <w:lang w:val="pl-PL"/>
        </w:rPr>
      </w:pPr>
    </w:p>
    <w:p w14:paraId="7C82B30C" w14:textId="77777777" w:rsidR="00DE001E" w:rsidRPr="00E622D5" w:rsidRDefault="00ED0DDD">
      <w:pPr>
        <w:spacing w:before="1" w:line="300" w:lineRule="auto"/>
        <w:ind w:left="23" w:right="17"/>
        <w:jc w:val="both"/>
        <w:rPr>
          <w:b/>
          <w:bCs/>
          <w:sz w:val="28"/>
          <w:szCs w:val="28"/>
          <w:lang w:val="pl-PL"/>
        </w:rPr>
      </w:pPr>
      <w:r w:rsidRPr="00E622D5">
        <w:rPr>
          <w:b/>
          <w:bCs/>
          <w:sz w:val="28"/>
          <w:szCs w:val="28"/>
          <w:highlight w:val="white"/>
          <w:lang w:val="pl-PL"/>
        </w:rPr>
        <w:t>Czy dzieci przejmują komunikacyjne maniery od maszyn? Eksperyment nad reakcjami dzieci na robota uprzejmego vs rozkazującego</w:t>
      </w:r>
    </w:p>
    <w:p w14:paraId="3D1BBBA9" w14:textId="77777777" w:rsidR="00DE001E" w:rsidRPr="00E622D5" w:rsidRDefault="00DE001E">
      <w:pPr>
        <w:rPr>
          <w:b/>
          <w:bCs/>
          <w:sz w:val="20"/>
          <w:szCs w:val="20"/>
          <w:lang w:val="pl-PL"/>
        </w:rPr>
      </w:pPr>
    </w:p>
    <w:p w14:paraId="6BFB163D" w14:textId="77777777" w:rsidR="00DE001E" w:rsidRPr="00E622D5" w:rsidRDefault="00ED0DDD">
      <w:pPr>
        <w:spacing w:before="240" w:after="240"/>
        <w:jc w:val="both"/>
        <w:rPr>
          <w:rFonts w:ascii="Arial" w:eastAsia="Arial" w:hAnsi="Arial" w:cs="Arial"/>
          <w:b/>
          <w:bCs/>
          <w:lang w:val="pl-PL"/>
        </w:rPr>
      </w:pPr>
      <w:r w:rsidRPr="00E622D5">
        <w:rPr>
          <w:rFonts w:ascii="Arial" w:eastAsia="Arial" w:hAnsi="Arial" w:cs="Arial"/>
          <w:b/>
          <w:bCs/>
          <w:lang w:val="pl-PL"/>
        </w:rPr>
        <w:t xml:space="preserve">Obecność robotów w szkołach już nikogo nie dziwi. A jak uczniowie podstawówek traktują roboty humanoidalne? Czy są dla nich uprzejmi i czy chętnie nadają im ludzkie cechy? Naukowcy z Uniwersytetu SWPS wykazali, że dzieci w większości przypadków odnoszą się do robotów grzecznie, a młodsze z nich i dziewczynki częściej postrzegają je jako posiadaczy cech ludzkich. </w:t>
      </w:r>
    </w:p>
    <w:p w14:paraId="1A9105D1" w14:textId="77777777" w:rsidR="00DE001E" w:rsidRPr="00E622D5" w:rsidRDefault="00ED0DDD">
      <w:pPr>
        <w:spacing w:before="1" w:line="300" w:lineRule="auto"/>
        <w:ind w:left="23" w:right="17"/>
        <w:jc w:val="both"/>
        <w:rPr>
          <w:rFonts w:ascii="Arial" w:eastAsia="Arial" w:hAnsi="Arial" w:cs="Arial"/>
          <w:b/>
          <w:bCs/>
          <w:lang w:val="pl-PL"/>
        </w:rPr>
      </w:pPr>
      <w:r w:rsidRPr="00E622D5">
        <w:rPr>
          <w:sz w:val="20"/>
          <w:szCs w:val="20"/>
          <w:lang w:val="pl-PL"/>
        </w:rPr>
        <w:t xml:space="preserve">Już 20–22 listopada 2025 roku w Warszawie odbędzie się czwarta edycja międzynarodowej konferencji </w:t>
      </w:r>
      <w:hyperlink r:id="rId7">
        <w:proofErr w:type="spellStart"/>
        <w:r w:rsidRPr="00E622D5">
          <w:rPr>
            <w:color w:val="1155CC"/>
            <w:sz w:val="20"/>
            <w:szCs w:val="20"/>
            <w:u w:val="single"/>
            <w:lang w:val="pl-PL"/>
          </w:rPr>
          <w:t>HumanTech</w:t>
        </w:r>
        <w:proofErr w:type="spellEnd"/>
        <w:r w:rsidRPr="00E622D5">
          <w:rPr>
            <w:color w:val="1155CC"/>
            <w:sz w:val="20"/>
            <w:szCs w:val="20"/>
            <w:u w:val="single"/>
            <w:lang w:val="pl-PL"/>
          </w:rPr>
          <w:t xml:space="preserve"> </w:t>
        </w:r>
        <w:proofErr w:type="spellStart"/>
        <w:r w:rsidRPr="00E622D5">
          <w:rPr>
            <w:color w:val="1155CC"/>
            <w:sz w:val="20"/>
            <w:szCs w:val="20"/>
            <w:u w:val="single"/>
            <w:lang w:val="pl-PL"/>
          </w:rPr>
          <w:t>Summit</w:t>
        </w:r>
        <w:proofErr w:type="spellEnd"/>
      </w:hyperlink>
      <w:r w:rsidRPr="00E622D5">
        <w:rPr>
          <w:sz w:val="20"/>
          <w:szCs w:val="20"/>
          <w:lang w:val="pl-PL"/>
        </w:rPr>
        <w:t xml:space="preserve">, organizowanej na USWPS przez Centrum </w:t>
      </w:r>
      <w:proofErr w:type="spellStart"/>
      <w:r w:rsidRPr="00E622D5">
        <w:rPr>
          <w:sz w:val="20"/>
          <w:szCs w:val="20"/>
          <w:lang w:val="pl-PL"/>
        </w:rPr>
        <w:t>HumanTech</w:t>
      </w:r>
      <w:proofErr w:type="spellEnd"/>
      <w:r w:rsidRPr="00E622D5">
        <w:rPr>
          <w:sz w:val="20"/>
          <w:szCs w:val="20"/>
          <w:lang w:val="pl-PL"/>
        </w:rPr>
        <w:t xml:space="preserve">, a interakcje z robotami będą jednym z tematów podejmowanych podczas tego wydarzenia. </w:t>
      </w:r>
    </w:p>
    <w:p w14:paraId="4898ECE1" w14:textId="77777777" w:rsidR="00DE001E" w:rsidRPr="00E622D5" w:rsidRDefault="00DE001E">
      <w:pPr>
        <w:jc w:val="both"/>
        <w:rPr>
          <w:rFonts w:ascii="Arial" w:eastAsia="Arial" w:hAnsi="Arial" w:cs="Arial"/>
          <w:b/>
          <w:bCs/>
          <w:lang w:val="pl-PL"/>
        </w:rPr>
      </w:pPr>
    </w:p>
    <w:p w14:paraId="2DC4584B" w14:textId="77777777" w:rsidR="00DE001E" w:rsidRPr="00E622D5" w:rsidRDefault="00ED0DDD">
      <w:pPr>
        <w:spacing w:before="1" w:line="300" w:lineRule="auto"/>
        <w:ind w:left="23" w:right="17"/>
        <w:jc w:val="both"/>
        <w:rPr>
          <w:sz w:val="20"/>
          <w:szCs w:val="20"/>
          <w:lang w:val="pl-PL"/>
        </w:rPr>
      </w:pPr>
      <w:r w:rsidRPr="00E622D5">
        <w:rPr>
          <w:sz w:val="20"/>
          <w:szCs w:val="20"/>
          <w:lang w:val="pl-PL"/>
        </w:rPr>
        <w:t>Roboty społeczne, wspomagające ludzi w codziennym funkcjonowaniu, są coraz powszechniej wykorzystywane w edukacji. Wiadomo już, że roboty i wirtualni asystenci mogą mieć pozytywny wpływ na wyniki edukacyjne dzieci i wspierać ich rozwój społeczny</w:t>
      </w:r>
      <w:r w:rsidRPr="00E622D5">
        <w:rPr>
          <w:sz w:val="20"/>
          <w:szCs w:val="20"/>
          <w:vertAlign w:val="superscript"/>
          <w:lang w:val="pl-PL"/>
        </w:rPr>
        <w:footnoteReference w:id="1"/>
      </w:r>
      <w:r w:rsidRPr="00E622D5">
        <w:rPr>
          <w:sz w:val="20"/>
          <w:szCs w:val="20"/>
          <w:lang w:val="pl-PL"/>
        </w:rPr>
        <w:t>. Okazuje się też, że mogą zwiększyć zaangażowanie najmłodszych w naukę</w:t>
      </w:r>
      <w:r w:rsidRPr="00E622D5">
        <w:rPr>
          <w:sz w:val="20"/>
          <w:szCs w:val="20"/>
          <w:vertAlign w:val="superscript"/>
          <w:lang w:val="pl-PL"/>
        </w:rPr>
        <w:footnoteReference w:id="2"/>
      </w:r>
      <w:r w:rsidRPr="00E622D5">
        <w:rPr>
          <w:sz w:val="20"/>
          <w:szCs w:val="20"/>
          <w:lang w:val="pl-PL"/>
        </w:rPr>
        <w:t xml:space="preserve">. </w:t>
      </w:r>
    </w:p>
    <w:p w14:paraId="607C05F1" w14:textId="77777777" w:rsidR="00DE001E" w:rsidRPr="00E622D5" w:rsidRDefault="00DE001E">
      <w:pPr>
        <w:spacing w:before="1" w:line="300" w:lineRule="auto"/>
        <w:ind w:left="23" w:right="17"/>
        <w:jc w:val="both"/>
        <w:rPr>
          <w:sz w:val="20"/>
          <w:szCs w:val="20"/>
          <w:lang w:val="pl-PL"/>
        </w:rPr>
      </w:pPr>
    </w:p>
    <w:p w14:paraId="10FCE072"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 Roboty w edukacji można zaprogramować w rozmaity sposób. Mogą np. dostosowywać metody nauczania do indywidualnych potrzeb uczniów, a także zwiększać motywację i zaangażowanie poprzez zabawę lub dawać natychmiastową informację zwrotną. Nie należy jednak zapominać, że interakcje z robotami wzbudzają też pewne wątpliwości, np. czy długotrwałe kontakty z nimi nie wpłyną </w:t>
      </w:r>
      <w:r w:rsidRPr="00E622D5">
        <w:rPr>
          <w:sz w:val="20"/>
          <w:szCs w:val="20"/>
          <w:lang w:val="pl-PL"/>
        </w:rPr>
        <w:lastRenderedPageBreak/>
        <w:t xml:space="preserve">negatywnie na zachowania społeczne dzieci – podkreśla dr Konrad Maj, główny autor badań, psycholog społeczny, kierownik Centrum Innowacji Społecznych i Technologicznych </w:t>
      </w:r>
      <w:proofErr w:type="spellStart"/>
      <w:r w:rsidRPr="00E622D5">
        <w:rPr>
          <w:sz w:val="20"/>
          <w:szCs w:val="20"/>
          <w:lang w:val="pl-PL"/>
        </w:rPr>
        <w:t>HumanTech</w:t>
      </w:r>
      <w:proofErr w:type="spellEnd"/>
      <w:r w:rsidRPr="00E622D5">
        <w:rPr>
          <w:sz w:val="20"/>
          <w:szCs w:val="20"/>
          <w:lang w:val="pl-PL"/>
        </w:rPr>
        <w:t>.</w:t>
      </w:r>
    </w:p>
    <w:p w14:paraId="503B2C7C" w14:textId="77777777" w:rsidR="00DE001E" w:rsidRPr="00E622D5" w:rsidRDefault="00DE001E">
      <w:pPr>
        <w:spacing w:before="1" w:line="300" w:lineRule="auto"/>
        <w:ind w:left="23" w:right="17"/>
        <w:jc w:val="both"/>
        <w:rPr>
          <w:sz w:val="20"/>
          <w:szCs w:val="20"/>
          <w:lang w:val="pl-PL"/>
        </w:rPr>
      </w:pPr>
    </w:p>
    <w:p w14:paraId="09267E4C"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Dlatego ważne jest, aby zrozumieć, jak dzieci odnajdują się w kontaktach z nimi i w jakiej sytuacji interakcje dzieci z robotami są najbardziej korzystne. Na tym skupili się naukowcy z Uniwersytetu SWPS – dr Konrad Maj, Ariadna </w:t>
      </w:r>
      <w:proofErr w:type="spellStart"/>
      <w:r w:rsidRPr="00E622D5">
        <w:rPr>
          <w:sz w:val="20"/>
          <w:szCs w:val="20"/>
          <w:lang w:val="pl-PL"/>
        </w:rPr>
        <w:t>Gołębicka</w:t>
      </w:r>
      <w:proofErr w:type="spellEnd"/>
      <w:r w:rsidRPr="00E622D5">
        <w:rPr>
          <w:sz w:val="20"/>
          <w:szCs w:val="20"/>
          <w:lang w:val="pl-PL"/>
        </w:rPr>
        <w:t>, Zuzanna Siwińska – w nowym badaniu opisanym w artykule „</w:t>
      </w:r>
      <w:hyperlink r:id="rId8">
        <w:r w:rsidRPr="00E622D5">
          <w:rPr>
            <w:color w:val="1155CC"/>
            <w:sz w:val="20"/>
            <w:szCs w:val="20"/>
            <w:u w:val="single"/>
            <w:lang w:val="pl-PL"/>
          </w:rPr>
          <w:t xml:space="preserve">How </w:t>
        </w:r>
        <w:proofErr w:type="spellStart"/>
        <w:r w:rsidRPr="00E622D5">
          <w:rPr>
            <w:color w:val="1155CC"/>
            <w:sz w:val="20"/>
            <w:szCs w:val="20"/>
            <w:u w:val="single"/>
            <w:lang w:val="pl-PL"/>
          </w:rPr>
          <w:t>children</w:t>
        </w:r>
        <w:proofErr w:type="spellEnd"/>
        <w:r w:rsidRPr="00E622D5">
          <w:rPr>
            <w:color w:val="1155CC"/>
            <w:sz w:val="20"/>
            <w:szCs w:val="20"/>
            <w:u w:val="single"/>
            <w:lang w:val="pl-PL"/>
          </w:rPr>
          <w:t xml:space="preserve"> </w:t>
        </w:r>
        <w:proofErr w:type="spellStart"/>
        <w:r w:rsidRPr="00E622D5">
          <w:rPr>
            <w:color w:val="1155CC"/>
            <w:sz w:val="20"/>
            <w:szCs w:val="20"/>
            <w:u w:val="single"/>
            <w:lang w:val="pl-PL"/>
          </w:rPr>
          <w:t>learn</w:t>
        </w:r>
        <w:proofErr w:type="spellEnd"/>
        <w:r w:rsidRPr="00E622D5">
          <w:rPr>
            <w:color w:val="1155CC"/>
            <w:sz w:val="20"/>
            <w:szCs w:val="20"/>
            <w:u w:val="single"/>
            <w:lang w:val="pl-PL"/>
          </w:rPr>
          <w:t xml:space="preserve"> from </w:t>
        </w:r>
        <w:proofErr w:type="spellStart"/>
        <w:r w:rsidRPr="00E622D5">
          <w:rPr>
            <w:color w:val="1155CC"/>
            <w:sz w:val="20"/>
            <w:szCs w:val="20"/>
            <w:u w:val="single"/>
            <w:lang w:val="pl-PL"/>
          </w:rPr>
          <w:t>robots</w:t>
        </w:r>
        <w:proofErr w:type="spellEnd"/>
        <w:r w:rsidRPr="00E622D5">
          <w:rPr>
            <w:color w:val="1155CC"/>
            <w:sz w:val="20"/>
            <w:szCs w:val="20"/>
            <w:u w:val="single"/>
            <w:lang w:val="pl-PL"/>
          </w:rPr>
          <w:t xml:space="preserve">: </w:t>
        </w:r>
        <w:proofErr w:type="spellStart"/>
        <w:r w:rsidRPr="00E622D5">
          <w:rPr>
            <w:color w:val="1155CC"/>
            <w:sz w:val="20"/>
            <w:szCs w:val="20"/>
            <w:u w:val="single"/>
            <w:lang w:val="pl-PL"/>
          </w:rPr>
          <w:t>Educational</w:t>
        </w:r>
        <w:proofErr w:type="spellEnd"/>
        <w:r w:rsidRPr="00E622D5">
          <w:rPr>
            <w:color w:val="1155CC"/>
            <w:sz w:val="20"/>
            <w:szCs w:val="20"/>
            <w:u w:val="single"/>
            <w:lang w:val="pl-PL"/>
          </w:rPr>
          <w:t xml:space="preserve"> </w:t>
        </w:r>
        <w:proofErr w:type="spellStart"/>
        <w:r w:rsidRPr="00E622D5">
          <w:rPr>
            <w:color w:val="1155CC"/>
            <w:sz w:val="20"/>
            <w:szCs w:val="20"/>
            <w:u w:val="single"/>
            <w:lang w:val="pl-PL"/>
          </w:rPr>
          <w:t>implications</w:t>
        </w:r>
        <w:proofErr w:type="spellEnd"/>
        <w:r w:rsidRPr="00E622D5">
          <w:rPr>
            <w:color w:val="1155CC"/>
            <w:sz w:val="20"/>
            <w:szCs w:val="20"/>
            <w:u w:val="single"/>
            <w:lang w:val="pl-PL"/>
          </w:rPr>
          <w:t xml:space="preserve"> of </w:t>
        </w:r>
        <w:proofErr w:type="spellStart"/>
        <w:r w:rsidRPr="00E622D5">
          <w:rPr>
            <w:color w:val="1155CC"/>
            <w:sz w:val="20"/>
            <w:szCs w:val="20"/>
            <w:u w:val="single"/>
            <w:lang w:val="pl-PL"/>
          </w:rPr>
          <w:t>communicative</w:t>
        </w:r>
        <w:proofErr w:type="spellEnd"/>
        <w:r w:rsidRPr="00E622D5">
          <w:rPr>
            <w:color w:val="1155CC"/>
            <w:sz w:val="20"/>
            <w:szCs w:val="20"/>
            <w:u w:val="single"/>
            <w:lang w:val="pl-PL"/>
          </w:rPr>
          <w:t xml:space="preserve"> style and </w:t>
        </w:r>
        <w:proofErr w:type="spellStart"/>
        <w:r w:rsidRPr="00E622D5">
          <w:rPr>
            <w:color w:val="1155CC"/>
            <w:sz w:val="20"/>
            <w:szCs w:val="20"/>
            <w:u w:val="single"/>
            <w:lang w:val="pl-PL"/>
          </w:rPr>
          <w:t>gender</w:t>
        </w:r>
        <w:proofErr w:type="spellEnd"/>
        <w:r w:rsidRPr="00E622D5">
          <w:rPr>
            <w:color w:val="1155CC"/>
            <w:sz w:val="20"/>
            <w:szCs w:val="20"/>
            <w:u w:val="single"/>
            <w:lang w:val="pl-PL"/>
          </w:rPr>
          <w:t xml:space="preserve"> in </w:t>
        </w:r>
        <w:proofErr w:type="spellStart"/>
        <w:r w:rsidRPr="00E622D5">
          <w:rPr>
            <w:color w:val="1155CC"/>
            <w:sz w:val="20"/>
            <w:szCs w:val="20"/>
            <w:u w:val="single"/>
            <w:lang w:val="pl-PL"/>
          </w:rPr>
          <w:t>child</w:t>
        </w:r>
        <w:proofErr w:type="spellEnd"/>
        <w:r w:rsidRPr="00E622D5">
          <w:rPr>
            <w:color w:val="1155CC"/>
            <w:sz w:val="20"/>
            <w:szCs w:val="20"/>
            <w:u w:val="single"/>
            <w:lang w:val="pl-PL"/>
          </w:rPr>
          <w:t xml:space="preserve">–robot </w:t>
        </w:r>
        <w:proofErr w:type="spellStart"/>
        <w:r w:rsidRPr="00E622D5">
          <w:rPr>
            <w:color w:val="1155CC"/>
            <w:sz w:val="20"/>
            <w:szCs w:val="20"/>
            <w:u w:val="single"/>
            <w:lang w:val="pl-PL"/>
          </w:rPr>
          <w:t>interaction</w:t>
        </w:r>
        <w:proofErr w:type="spellEnd"/>
      </w:hyperlink>
      <w:r w:rsidRPr="00E622D5">
        <w:rPr>
          <w:sz w:val="20"/>
          <w:szCs w:val="20"/>
          <w:lang w:val="pl-PL"/>
        </w:rPr>
        <w:t>” na łamach „</w:t>
      </w:r>
      <w:proofErr w:type="spellStart"/>
      <w:r w:rsidRPr="00E622D5">
        <w:rPr>
          <w:sz w:val="20"/>
          <w:szCs w:val="20"/>
          <w:lang w:val="pl-PL"/>
        </w:rPr>
        <w:t>Computers</w:t>
      </w:r>
      <w:proofErr w:type="spellEnd"/>
      <w:r w:rsidRPr="00E622D5">
        <w:rPr>
          <w:sz w:val="20"/>
          <w:szCs w:val="20"/>
          <w:lang w:val="pl-PL"/>
        </w:rPr>
        <w:t xml:space="preserve"> &amp; </w:t>
      </w:r>
      <w:proofErr w:type="spellStart"/>
      <w:r w:rsidRPr="00E622D5">
        <w:rPr>
          <w:sz w:val="20"/>
          <w:szCs w:val="20"/>
          <w:lang w:val="pl-PL"/>
        </w:rPr>
        <w:t>Education</w:t>
      </w:r>
      <w:proofErr w:type="spellEnd"/>
      <w:r w:rsidRPr="00E622D5">
        <w:rPr>
          <w:sz w:val="20"/>
          <w:szCs w:val="20"/>
          <w:lang w:val="pl-PL"/>
        </w:rPr>
        <w:t xml:space="preserve">”. </w:t>
      </w:r>
    </w:p>
    <w:p w14:paraId="24C7D6A5" w14:textId="77777777" w:rsidR="00DE001E" w:rsidRPr="00E622D5" w:rsidRDefault="00DE001E">
      <w:pPr>
        <w:spacing w:before="1" w:line="300" w:lineRule="auto"/>
        <w:ind w:left="23" w:right="17"/>
        <w:jc w:val="both"/>
        <w:rPr>
          <w:sz w:val="20"/>
          <w:szCs w:val="20"/>
          <w:lang w:val="pl-PL"/>
        </w:rPr>
      </w:pPr>
    </w:p>
    <w:p w14:paraId="218231CA" w14:textId="77777777" w:rsidR="00DE001E" w:rsidRPr="00E622D5" w:rsidRDefault="00ED0DDD">
      <w:pPr>
        <w:spacing w:before="1" w:line="300" w:lineRule="auto"/>
        <w:ind w:left="23" w:right="17"/>
        <w:jc w:val="both"/>
        <w:rPr>
          <w:sz w:val="20"/>
          <w:szCs w:val="20"/>
          <w:lang w:val="pl-PL"/>
        </w:rPr>
      </w:pPr>
      <w:r w:rsidRPr="00E622D5">
        <w:rPr>
          <w:rFonts w:ascii="Roboto" w:eastAsia="Roboto" w:hAnsi="Roboto" w:cs="Roboto"/>
          <w:b/>
          <w:bCs/>
          <w:sz w:val="21"/>
          <w:szCs w:val="21"/>
          <w:highlight w:val="white"/>
          <w:lang w:val="pl-PL"/>
        </w:rPr>
        <w:t>Jak dzieci reagują na roboty humanoidalne?</w:t>
      </w:r>
    </w:p>
    <w:p w14:paraId="1ABCCE8E" w14:textId="1BB13C57" w:rsidR="00DE001E" w:rsidRPr="00E622D5" w:rsidRDefault="00ED0DDD">
      <w:pPr>
        <w:spacing w:before="1" w:line="300" w:lineRule="auto"/>
        <w:ind w:left="23" w:right="17"/>
        <w:jc w:val="both"/>
        <w:rPr>
          <w:sz w:val="20"/>
          <w:szCs w:val="20"/>
          <w:lang w:val="pl-PL"/>
        </w:rPr>
      </w:pPr>
      <w:r w:rsidRPr="00E622D5">
        <w:rPr>
          <w:sz w:val="20"/>
          <w:szCs w:val="20"/>
          <w:lang w:val="pl-PL"/>
        </w:rPr>
        <w:t xml:space="preserve">W badaniu wykorzystano 120-centymetrowego humanoidalnego robota </w:t>
      </w:r>
      <w:proofErr w:type="spellStart"/>
      <w:r w:rsidRPr="00E622D5">
        <w:rPr>
          <w:sz w:val="20"/>
          <w:szCs w:val="20"/>
          <w:lang w:val="pl-PL"/>
        </w:rPr>
        <w:t>Peppera</w:t>
      </w:r>
      <w:proofErr w:type="spellEnd"/>
      <w:r w:rsidRPr="00E622D5">
        <w:rPr>
          <w:sz w:val="20"/>
          <w:szCs w:val="20"/>
          <w:lang w:val="pl-PL"/>
        </w:rPr>
        <w:t xml:space="preserve"> (stworzonego przez </w:t>
      </w:r>
      <w:proofErr w:type="spellStart"/>
      <w:r w:rsidRPr="00E622D5">
        <w:rPr>
          <w:sz w:val="20"/>
          <w:szCs w:val="20"/>
          <w:lang w:val="pl-PL"/>
        </w:rPr>
        <w:t>SoftBank</w:t>
      </w:r>
      <w:proofErr w:type="spellEnd"/>
      <w:r w:rsidRPr="00E622D5">
        <w:rPr>
          <w:sz w:val="20"/>
          <w:szCs w:val="20"/>
          <w:lang w:val="pl-PL"/>
        </w:rPr>
        <w:t xml:space="preserve"> </w:t>
      </w:r>
      <w:proofErr w:type="spellStart"/>
      <w:r w:rsidRPr="00E622D5">
        <w:rPr>
          <w:sz w:val="20"/>
          <w:szCs w:val="20"/>
          <w:lang w:val="pl-PL"/>
        </w:rPr>
        <w:t>Robotics</w:t>
      </w:r>
      <w:proofErr w:type="spellEnd"/>
      <w:r w:rsidRPr="00E622D5">
        <w:rPr>
          <w:sz w:val="20"/>
          <w:szCs w:val="20"/>
          <w:lang w:val="pl-PL"/>
        </w:rPr>
        <w:t xml:space="preserve">) przypominającego dziecko. Urządzenie zaprojektowane do kontaktów społecznych wyposażono w czujniki i kamery, mikrofony. Wszystko to sprawia, że </w:t>
      </w:r>
      <w:proofErr w:type="spellStart"/>
      <w:r w:rsidRPr="00E622D5">
        <w:rPr>
          <w:sz w:val="20"/>
          <w:szCs w:val="20"/>
          <w:lang w:val="pl-PL"/>
        </w:rPr>
        <w:t>Pepper</w:t>
      </w:r>
      <w:proofErr w:type="spellEnd"/>
      <w:r w:rsidRPr="00E622D5">
        <w:rPr>
          <w:sz w:val="20"/>
          <w:szCs w:val="20"/>
          <w:lang w:val="pl-PL"/>
        </w:rPr>
        <w:t xml:space="preserve"> rozpoznaje mowę, gesty i niektóre emocje. Uczestnikami badania było 251 dzieci w wieku 7-</w:t>
      </w:r>
      <w:r w:rsidR="003E1C92">
        <w:rPr>
          <w:sz w:val="20"/>
          <w:szCs w:val="20"/>
          <w:lang w:val="pl-PL"/>
        </w:rPr>
        <w:t>12</w:t>
      </w:r>
      <w:r w:rsidRPr="00E622D5">
        <w:rPr>
          <w:sz w:val="20"/>
          <w:szCs w:val="20"/>
          <w:lang w:val="pl-PL"/>
        </w:rPr>
        <w:t xml:space="preserve"> lat. </w:t>
      </w:r>
    </w:p>
    <w:p w14:paraId="584CCB97" w14:textId="77777777" w:rsidR="00DE001E" w:rsidRPr="00E622D5" w:rsidRDefault="00DE001E">
      <w:pPr>
        <w:spacing w:before="1" w:line="300" w:lineRule="auto"/>
        <w:ind w:left="23" w:right="17"/>
        <w:jc w:val="both"/>
        <w:rPr>
          <w:sz w:val="20"/>
          <w:szCs w:val="20"/>
          <w:lang w:val="pl-PL"/>
        </w:rPr>
      </w:pPr>
    </w:p>
    <w:p w14:paraId="152B4DEE"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Badacze wzięli pod uwagę dwa aspekty: styl komunikacyjny robota w stosunku do człowieka (uprzejmy lub rozkazujący) oraz jego “płeć” (żeńska lub męska), którą określili poprzez nadanie imienia urządzeniu (Adam lub Ada). Wybrali te czynniki, gdyż są one powiązane z tym, jak dzieci interpretują intencje, serdeczność i autorytet robota, co bezpośrednio oddziałuje na zaangażowanie i wyniki w nauce. Może mieć to znaczenie przy późniejszym projektowaniu robotów społecznych. </w:t>
      </w:r>
    </w:p>
    <w:p w14:paraId="3959506B" w14:textId="77777777" w:rsidR="00DE001E" w:rsidRPr="00E622D5" w:rsidRDefault="00DE001E">
      <w:pPr>
        <w:spacing w:before="1" w:line="300" w:lineRule="auto"/>
        <w:ind w:left="23" w:right="17"/>
        <w:jc w:val="both"/>
        <w:rPr>
          <w:sz w:val="20"/>
          <w:szCs w:val="20"/>
          <w:lang w:val="pl-PL"/>
        </w:rPr>
      </w:pPr>
    </w:p>
    <w:p w14:paraId="326EF21D" w14:textId="77777777" w:rsidR="00DE001E" w:rsidRPr="00E622D5" w:rsidRDefault="00ED0DDD">
      <w:pPr>
        <w:spacing w:before="1" w:line="300" w:lineRule="auto"/>
        <w:ind w:left="23" w:right="17"/>
        <w:jc w:val="both"/>
        <w:rPr>
          <w:sz w:val="20"/>
          <w:szCs w:val="20"/>
          <w:lang w:val="pl-PL"/>
        </w:rPr>
      </w:pPr>
      <w:r w:rsidRPr="00E622D5">
        <w:rPr>
          <w:sz w:val="20"/>
          <w:szCs w:val="20"/>
          <w:lang w:val="pl-PL"/>
        </w:rPr>
        <w:t>Naukowcy zastanawiali się m.in., czy dzieci, do których robot odnosi się grzecznie, również będą dla niego uprzejme, a także czy młodsze dzieci będą bardziej skłonne do antropomorfizowania robota, czyli przypisywania mu cech ludzkich, niż starsze i czy większe tendencje będą miały do tego dziewczynki.</w:t>
      </w:r>
    </w:p>
    <w:p w14:paraId="654B02D2" w14:textId="77777777" w:rsidR="00DE001E" w:rsidRPr="00E622D5" w:rsidRDefault="00DE001E">
      <w:pPr>
        <w:spacing w:before="1" w:line="300" w:lineRule="auto"/>
        <w:ind w:left="23" w:right="17"/>
        <w:jc w:val="both"/>
        <w:rPr>
          <w:sz w:val="20"/>
          <w:szCs w:val="20"/>
          <w:lang w:val="pl-PL"/>
        </w:rPr>
      </w:pPr>
    </w:p>
    <w:p w14:paraId="09B82CA7"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W czasie badania dzieci mogły zapoznać się z robotem, który naśladował dla nich zwierzęta, obserwowały jego reakcję na próbę zrobienia mu zdjęcia (uprzejmy lub kategoryczny komunikat, aby tego nie robić), na którą miały zareagować, a następnie </w:t>
      </w:r>
      <w:r w:rsidRPr="00E622D5">
        <w:rPr>
          <w:sz w:val="20"/>
          <w:szCs w:val="20"/>
          <w:lang w:val="pl-PL"/>
        </w:rPr>
        <w:lastRenderedPageBreak/>
        <w:t xml:space="preserve">odpowiadały na pytania dotyczące </w:t>
      </w:r>
      <w:proofErr w:type="spellStart"/>
      <w:r w:rsidRPr="00E622D5">
        <w:rPr>
          <w:sz w:val="20"/>
          <w:szCs w:val="20"/>
          <w:lang w:val="pl-PL"/>
        </w:rPr>
        <w:t>Peppera</w:t>
      </w:r>
      <w:proofErr w:type="spellEnd"/>
      <w:r w:rsidRPr="00E622D5">
        <w:rPr>
          <w:sz w:val="20"/>
          <w:szCs w:val="20"/>
          <w:lang w:val="pl-PL"/>
        </w:rPr>
        <w:t xml:space="preserve">. Pytano je np. o to, czy ich zdaniem ten robot może być szczęśliwy, czy śni albo czy sobie coś wyobraża.   </w:t>
      </w:r>
    </w:p>
    <w:p w14:paraId="7995A788" w14:textId="77777777" w:rsidR="00DE001E" w:rsidRPr="00E622D5" w:rsidRDefault="00DE001E">
      <w:pPr>
        <w:spacing w:before="1" w:line="300" w:lineRule="auto"/>
        <w:ind w:left="23" w:right="17"/>
        <w:jc w:val="both"/>
        <w:rPr>
          <w:sz w:val="20"/>
          <w:szCs w:val="20"/>
          <w:lang w:val="pl-PL"/>
        </w:rPr>
      </w:pPr>
    </w:p>
    <w:p w14:paraId="7D48F454" w14:textId="77777777" w:rsidR="00DE001E" w:rsidRPr="00E622D5" w:rsidRDefault="00ED0DDD">
      <w:pPr>
        <w:spacing w:before="1" w:line="300" w:lineRule="auto"/>
        <w:ind w:left="23" w:right="17"/>
        <w:jc w:val="both"/>
        <w:rPr>
          <w:rFonts w:ascii="Roboto" w:eastAsia="Roboto" w:hAnsi="Roboto" w:cs="Roboto"/>
          <w:b/>
          <w:bCs/>
          <w:sz w:val="21"/>
          <w:szCs w:val="21"/>
          <w:highlight w:val="white"/>
          <w:lang w:val="pl-PL"/>
        </w:rPr>
      </w:pPr>
      <w:r w:rsidRPr="00E622D5">
        <w:rPr>
          <w:rFonts w:ascii="Roboto" w:eastAsia="Roboto" w:hAnsi="Roboto" w:cs="Roboto"/>
          <w:b/>
          <w:bCs/>
          <w:sz w:val="21"/>
          <w:szCs w:val="21"/>
          <w:highlight w:val="white"/>
          <w:lang w:val="pl-PL"/>
        </w:rPr>
        <w:t>Jak dzieci będą naśladować robota, który prosi albo rozkazuje?</w:t>
      </w:r>
    </w:p>
    <w:p w14:paraId="72D23851" w14:textId="77777777" w:rsidR="00DE001E" w:rsidRPr="00E622D5" w:rsidRDefault="00ED0DDD">
      <w:pPr>
        <w:spacing w:before="1" w:line="300" w:lineRule="auto"/>
        <w:ind w:right="17"/>
        <w:jc w:val="both"/>
        <w:rPr>
          <w:sz w:val="20"/>
          <w:szCs w:val="20"/>
          <w:lang w:val="pl-PL"/>
        </w:rPr>
      </w:pPr>
      <w:r w:rsidRPr="00E622D5">
        <w:rPr>
          <w:sz w:val="20"/>
          <w:szCs w:val="20"/>
          <w:lang w:val="pl-PL"/>
        </w:rPr>
        <w:t xml:space="preserve">Okazało się, że dzieci mające do czynienia z uprzejmym robotem praktycznie zawsze odpowiadały na jego reakcję grzecznie. Te, do których robot odnosił się rozkazująco, również w większości przypadków reagowały w uprzejmy sposób, zamiast powielać jego władczy styl komunikowania, co wskazuje na to, że w tym przypadku ugruntowane normy społeczne przeważają nad naśladownictwem. </w:t>
      </w:r>
    </w:p>
    <w:p w14:paraId="05C77ABC" w14:textId="77777777" w:rsidR="00DE001E" w:rsidRPr="00E622D5" w:rsidRDefault="00DE001E">
      <w:pPr>
        <w:spacing w:before="1" w:line="300" w:lineRule="auto"/>
        <w:ind w:left="23" w:right="17"/>
        <w:jc w:val="both"/>
        <w:rPr>
          <w:sz w:val="20"/>
          <w:szCs w:val="20"/>
          <w:lang w:val="pl-PL"/>
        </w:rPr>
      </w:pPr>
    </w:p>
    <w:p w14:paraId="50BC22C9"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Młodsze dzieci i dziewczynki znacznie częściej antropomorfizowały robota. Okazało się również, że uprzejmym robotom przypisywano ludzkie cechy częściej niż rozkazującym, szczególnie kiedy ich ton pasował do oczekiwań pod względem płci. Zatem najbardziej sprzyjała temu sytuacja, kiedy robot był zaprogramowany jako uprzejmy i płci żeńskiej. </w:t>
      </w:r>
    </w:p>
    <w:p w14:paraId="5C8F6477" w14:textId="77777777" w:rsidR="00DE001E" w:rsidRPr="00E622D5" w:rsidRDefault="00DE001E">
      <w:pPr>
        <w:spacing w:before="1" w:line="300" w:lineRule="auto"/>
        <w:ind w:left="23" w:right="17"/>
        <w:jc w:val="both"/>
        <w:rPr>
          <w:sz w:val="20"/>
          <w:szCs w:val="20"/>
          <w:lang w:val="pl-PL"/>
        </w:rPr>
      </w:pPr>
    </w:p>
    <w:p w14:paraId="040E1535"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Z naszych wyników wypływa wniosek, że sygnały społeczne w interakcjach między dziećmi a robotami w edukacji są wyjątkowo istotne. Dostosowanie stylu komunikacji robota do poziomu rozwoju dzieci i ich oczekiwań społecznych może zwiększyć zaangażowanie uczniów i potencjalnie wspierać pozytywne wyniki w nauce – uważa dr Maj.</w:t>
      </w:r>
    </w:p>
    <w:p w14:paraId="2B503BEA" w14:textId="77777777" w:rsidR="00DE001E" w:rsidRPr="00E622D5" w:rsidRDefault="00DE001E">
      <w:pPr>
        <w:spacing w:before="1" w:line="300" w:lineRule="auto"/>
        <w:ind w:left="23" w:right="17"/>
        <w:jc w:val="both"/>
        <w:rPr>
          <w:sz w:val="20"/>
          <w:szCs w:val="20"/>
          <w:lang w:val="pl-PL"/>
        </w:rPr>
      </w:pPr>
    </w:p>
    <w:p w14:paraId="4017598C" w14:textId="77777777" w:rsidR="00DE001E" w:rsidRPr="00E622D5" w:rsidRDefault="00ED0DDD">
      <w:pPr>
        <w:spacing w:before="1" w:line="300" w:lineRule="auto"/>
        <w:ind w:left="23" w:right="17"/>
        <w:jc w:val="both"/>
        <w:rPr>
          <w:sz w:val="20"/>
          <w:szCs w:val="20"/>
          <w:lang w:val="pl-PL"/>
        </w:rPr>
      </w:pPr>
      <w:r w:rsidRPr="00E622D5">
        <w:rPr>
          <w:sz w:val="20"/>
          <w:szCs w:val="20"/>
          <w:lang w:val="pl-PL"/>
        </w:rPr>
        <w:t>Jak dodaje, roboty coraz częściej pojawiają się w salach lekcyjnych, dlatego zrozumienie tego, jak dzieci je postrzegają i na nie reagują, zadecyduje o tym, czy będą w przyszłości służyły jako skuteczni partnerzy w nauce.</w:t>
      </w:r>
    </w:p>
    <w:p w14:paraId="5AD32C05" w14:textId="77777777" w:rsidR="00DE001E" w:rsidRPr="00E622D5" w:rsidRDefault="00DE001E">
      <w:pPr>
        <w:spacing w:before="1" w:line="300" w:lineRule="auto"/>
        <w:ind w:left="23" w:right="17"/>
        <w:jc w:val="both"/>
        <w:rPr>
          <w:sz w:val="20"/>
          <w:szCs w:val="20"/>
          <w:lang w:val="pl-PL"/>
        </w:rPr>
      </w:pPr>
    </w:p>
    <w:p w14:paraId="724CA5B0" w14:textId="77777777" w:rsidR="00DE001E" w:rsidRPr="00E622D5" w:rsidRDefault="00ED0DDD">
      <w:pPr>
        <w:spacing w:before="1" w:line="300" w:lineRule="auto"/>
        <w:ind w:left="23" w:right="17"/>
        <w:jc w:val="both"/>
        <w:rPr>
          <w:sz w:val="20"/>
          <w:szCs w:val="20"/>
          <w:lang w:val="pl-PL"/>
        </w:rPr>
      </w:pPr>
      <w:r w:rsidRPr="00E622D5">
        <w:rPr>
          <w:rFonts w:ascii="Roboto" w:eastAsia="Roboto" w:hAnsi="Roboto" w:cs="Roboto"/>
          <w:b/>
          <w:bCs/>
          <w:sz w:val="21"/>
          <w:szCs w:val="21"/>
          <w:highlight w:val="white"/>
          <w:lang w:val="pl-PL"/>
        </w:rPr>
        <w:t xml:space="preserve">Konferencja </w:t>
      </w:r>
      <w:proofErr w:type="spellStart"/>
      <w:r w:rsidRPr="00E622D5">
        <w:rPr>
          <w:rFonts w:ascii="Roboto" w:eastAsia="Roboto" w:hAnsi="Roboto" w:cs="Roboto"/>
          <w:b/>
          <w:bCs/>
          <w:sz w:val="21"/>
          <w:szCs w:val="21"/>
          <w:highlight w:val="white"/>
          <w:lang w:val="pl-PL"/>
        </w:rPr>
        <w:t>HumanTech</w:t>
      </w:r>
      <w:proofErr w:type="spellEnd"/>
      <w:r w:rsidRPr="00E622D5">
        <w:rPr>
          <w:rFonts w:ascii="Roboto" w:eastAsia="Roboto" w:hAnsi="Roboto" w:cs="Roboto"/>
          <w:b/>
          <w:bCs/>
          <w:sz w:val="21"/>
          <w:szCs w:val="21"/>
          <w:highlight w:val="white"/>
          <w:lang w:val="pl-PL"/>
        </w:rPr>
        <w:t xml:space="preserve"> </w:t>
      </w:r>
      <w:proofErr w:type="spellStart"/>
      <w:r w:rsidRPr="00E622D5">
        <w:rPr>
          <w:rFonts w:ascii="Roboto" w:eastAsia="Roboto" w:hAnsi="Roboto" w:cs="Roboto"/>
          <w:b/>
          <w:bCs/>
          <w:sz w:val="21"/>
          <w:szCs w:val="21"/>
          <w:highlight w:val="white"/>
          <w:lang w:val="pl-PL"/>
        </w:rPr>
        <w:t>Summit</w:t>
      </w:r>
      <w:proofErr w:type="spellEnd"/>
      <w:r w:rsidRPr="00E622D5">
        <w:rPr>
          <w:rFonts w:ascii="Roboto" w:eastAsia="Roboto" w:hAnsi="Roboto" w:cs="Roboto"/>
          <w:b/>
          <w:bCs/>
          <w:sz w:val="21"/>
          <w:szCs w:val="21"/>
          <w:highlight w:val="white"/>
          <w:lang w:val="pl-PL"/>
        </w:rPr>
        <w:t xml:space="preserve"> 2025</w:t>
      </w:r>
    </w:p>
    <w:p w14:paraId="017D4408"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Interakcje z robotami będą jednym z tematów zbliżającej się międzynarodowej konferencji </w:t>
      </w:r>
      <w:proofErr w:type="spellStart"/>
      <w:r w:rsidRPr="00E622D5">
        <w:rPr>
          <w:sz w:val="20"/>
          <w:szCs w:val="20"/>
          <w:lang w:val="pl-PL"/>
        </w:rPr>
        <w:t>HumanTech</w:t>
      </w:r>
      <w:proofErr w:type="spellEnd"/>
      <w:r w:rsidRPr="00E622D5">
        <w:rPr>
          <w:sz w:val="20"/>
          <w:szCs w:val="20"/>
          <w:lang w:val="pl-PL"/>
        </w:rPr>
        <w:t xml:space="preserve"> </w:t>
      </w:r>
      <w:proofErr w:type="spellStart"/>
      <w:r w:rsidRPr="00E622D5">
        <w:rPr>
          <w:sz w:val="20"/>
          <w:szCs w:val="20"/>
          <w:lang w:val="pl-PL"/>
        </w:rPr>
        <w:t>Summit</w:t>
      </w:r>
      <w:proofErr w:type="spellEnd"/>
      <w:r w:rsidRPr="00E622D5">
        <w:rPr>
          <w:sz w:val="20"/>
          <w:szCs w:val="20"/>
          <w:lang w:val="pl-PL"/>
        </w:rPr>
        <w:t xml:space="preserve"> 2025 (20-22 listopada 2025 r.), która odbywa się już po raz czwarty w Warszawie i online. </w:t>
      </w:r>
    </w:p>
    <w:p w14:paraId="3DA79A62" w14:textId="77777777" w:rsidR="00DE001E" w:rsidRPr="00E622D5" w:rsidRDefault="00DE001E">
      <w:pPr>
        <w:spacing w:before="1" w:line="300" w:lineRule="auto"/>
        <w:ind w:left="23" w:right="17"/>
        <w:jc w:val="both"/>
        <w:rPr>
          <w:sz w:val="20"/>
          <w:szCs w:val="20"/>
          <w:lang w:val="pl-PL"/>
        </w:rPr>
      </w:pPr>
    </w:p>
    <w:p w14:paraId="61DA7346"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Jedną z prelegentek będzie prof. </w:t>
      </w:r>
      <w:proofErr w:type="spellStart"/>
      <w:r w:rsidRPr="00E622D5">
        <w:rPr>
          <w:sz w:val="20"/>
          <w:szCs w:val="20"/>
          <w:lang w:val="pl-PL"/>
        </w:rPr>
        <w:t>Emily</w:t>
      </w:r>
      <w:proofErr w:type="spellEnd"/>
      <w:r w:rsidRPr="00E622D5">
        <w:rPr>
          <w:sz w:val="20"/>
          <w:szCs w:val="20"/>
          <w:lang w:val="pl-PL"/>
        </w:rPr>
        <w:t xml:space="preserve"> Cross (ETH </w:t>
      </w:r>
      <w:proofErr w:type="spellStart"/>
      <w:r w:rsidRPr="00E622D5">
        <w:rPr>
          <w:sz w:val="20"/>
          <w:szCs w:val="20"/>
          <w:lang w:val="pl-PL"/>
        </w:rPr>
        <w:t>Zürich</w:t>
      </w:r>
      <w:proofErr w:type="spellEnd"/>
      <w:r w:rsidRPr="00E622D5">
        <w:rPr>
          <w:sz w:val="20"/>
          <w:szCs w:val="20"/>
          <w:lang w:val="pl-PL"/>
        </w:rPr>
        <w:t xml:space="preserve">, Szwajcaria), ekspertka w dziedzinie </w:t>
      </w:r>
      <w:proofErr w:type="spellStart"/>
      <w:r w:rsidRPr="00E622D5">
        <w:rPr>
          <w:sz w:val="20"/>
          <w:szCs w:val="20"/>
          <w:lang w:val="pl-PL"/>
        </w:rPr>
        <w:t>neurokognitywnych</w:t>
      </w:r>
      <w:proofErr w:type="spellEnd"/>
      <w:r w:rsidRPr="00E622D5">
        <w:rPr>
          <w:sz w:val="20"/>
          <w:szCs w:val="20"/>
          <w:lang w:val="pl-PL"/>
        </w:rPr>
        <w:t xml:space="preserve"> podstaw interakcji człowieka z robotami. Jej badania </w:t>
      </w:r>
      <w:r w:rsidRPr="00E622D5">
        <w:rPr>
          <w:sz w:val="20"/>
          <w:szCs w:val="20"/>
          <w:lang w:val="pl-PL"/>
        </w:rPr>
        <w:lastRenderedPageBreak/>
        <w:t xml:space="preserve">koncentrują się na tym, jak uczymy się od innych, jak ucieleśnione doświadczenia (takie jak taniec, ruch i interakcja z robotami) kształtują percepcję społeczną oraz jak ludzie wchodzą w interakcje z robotami społecznymi i systemami sztucznej inteligencji. Z prelekcją wystąpi też dr </w:t>
      </w:r>
      <w:proofErr w:type="spellStart"/>
      <w:r w:rsidRPr="00E622D5">
        <w:rPr>
          <w:sz w:val="20"/>
          <w:szCs w:val="20"/>
          <w:lang w:val="pl-PL"/>
        </w:rPr>
        <w:t>Jessica</w:t>
      </w:r>
      <w:proofErr w:type="spellEnd"/>
      <w:r w:rsidRPr="00E622D5">
        <w:rPr>
          <w:sz w:val="20"/>
          <w:szCs w:val="20"/>
          <w:lang w:val="pl-PL"/>
        </w:rPr>
        <w:t xml:space="preserve"> M. Szczuka z Uniwersytetu Duisburg-Essen, która bada, w jaki sposób technologie cyfrowe (sztuczna inteligencja, </w:t>
      </w:r>
      <w:proofErr w:type="spellStart"/>
      <w:r w:rsidRPr="00E622D5">
        <w:rPr>
          <w:sz w:val="20"/>
          <w:szCs w:val="20"/>
          <w:lang w:val="pl-PL"/>
        </w:rPr>
        <w:t>chatboty</w:t>
      </w:r>
      <w:proofErr w:type="spellEnd"/>
      <w:r w:rsidRPr="00E622D5">
        <w:rPr>
          <w:sz w:val="20"/>
          <w:szCs w:val="20"/>
          <w:lang w:val="pl-PL"/>
        </w:rPr>
        <w:t xml:space="preserve">, roboty, VR) zmieniają intymność, seksualność i relacje międzyludzkie, ze szczególnym uwzględnieniem relacji syntetycznych i etyki </w:t>
      </w:r>
      <w:proofErr w:type="spellStart"/>
      <w:r w:rsidRPr="00E622D5">
        <w:rPr>
          <w:sz w:val="20"/>
          <w:szCs w:val="20"/>
          <w:lang w:val="pl-PL"/>
        </w:rPr>
        <w:t>zdigitalizowanej</w:t>
      </w:r>
      <w:proofErr w:type="spellEnd"/>
      <w:r w:rsidRPr="00E622D5">
        <w:rPr>
          <w:sz w:val="20"/>
          <w:szCs w:val="20"/>
          <w:lang w:val="pl-PL"/>
        </w:rPr>
        <w:t xml:space="preserve"> intymności.</w:t>
      </w:r>
    </w:p>
    <w:p w14:paraId="14852949" w14:textId="77777777" w:rsidR="00DE001E" w:rsidRPr="00E622D5" w:rsidRDefault="00DE001E">
      <w:pPr>
        <w:spacing w:before="1" w:line="300" w:lineRule="auto"/>
        <w:ind w:left="23" w:right="17"/>
        <w:jc w:val="both"/>
        <w:rPr>
          <w:sz w:val="20"/>
          <w:szCs w:val="20"/>
          <w:lang w:val="pl-PL"/>
        </w:rPr>
      </w:pPr>
    </w:p>
    <w:p w14:paraId="538D9BBA"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Obecny będzie również dr Peng </w:t>
      </w:r>
      <w:proofErr w:type="spellStart"/>
      <w:r w:rsidRPr="00E622D5">
        <w:rPr>
          <w:sz w:val="20"/>
          <w:szCs w:val="20"/>
          <w:lang w:val="pl-PL"/>
        </w:rPr>
        <w:t>Liu</w:t>
      </w:r>
      <w:proofErr w:type="spellEnd"/>
      <w:r w:rsidRPr="00E622D5">
        <w:rPr>
          <w:sz w:val="20"/>
          <w:szCs w:val="20"/>
          <w:lang w:val="pl-PL"/>
        </w:rPr>
        <w:t xml:space="preserve"> (</w:t>
      </w:r>
      <w:proofErr w:type="spellStart"/>
      <w:r w:rsidRPr="00E622D5">
        <w:rPr>
          <w:sz w:val="20"/>
          <w:szCs w:val="20"/>
          <w:lang w:val="pl-PL"/>
        </w:rPr>
        <w:t>Zhejiang</w:t>
      </w:r>
      <w:proofErr w:type="spellEnd"/>
      <w:r w:rsidRPr="00E622D5">
        <w:rPr>
          <w:sz w:val="20"/>
          <w:szCs w:val="20"/>
          <w:lang w:val="pl-PL"/>
        </w:rPr>
        <w:t xml:space="preserve"> University, Chiny), którego badania koncentrują się na psychologii maszyn i współpracy człowieka ze sztuczną inteligencją, zwłaszcza w kontekście pojazdów zautomatyzowanych, systemów wspomagania decyzji i generatywnej sztucznej inteligencji.</w:t>
      </w:r>
    </w:p>
    <w:p w14:paraId="7A9C0FF9" w14:textId="77777777" w:rsidR="00DE001E" w:rsidRPr="00E622D5" w:rsidRDefault="00DE001E">
      <w:pPr>
        <w:spacing w:before="1" w:line="300" w:lineRule="auto"/>
        <w:ind w:left="23" w:right="17"/>
        <w:jc w:val="both"/>
        <w:rPr>
          <w:sz w:val="20"/>
          <w:szCs w:val="20"/>
          <w:lang w:val="pl-PL"/>
        </w:rPr>
      </w:pPr>
    </w:p>
    <w:p w14:paraId="501DC8C1" w14:textId="77777777" w:rsidR="00DE001E" w:rsidRPr="00E622D5" w:rsidRDefault="00ED0DDD">
      <w:pPr>
        <w:spacing w:before="1" w:line="300" w:lineRule="auto"/>
        <w:ind w:left="23" w:right="17"/>
        <w:jc w:val="both"/>
        <w:rPr>
          <w:sz w:val="20"/>
          <w:szCs w:val="20"/>
          <w:lang w:val="pl-PL"/>
        </w:rPr>
      </w:pPr>
      <w:r w:rsidRPr="00E622D5">
        <w:rPr>
          <w:sz w:val="20"/>
          <w:szCs w:val="20"/>
          <w:lang w:val="pl-PL"/>
        </w:rPr>
        <w:t xml:space="preserve">Podczas konferencji </w:t>
      </w:r>
      <w:proofErr w:type="spellStart"/>
      <w:r w:rsidRPr="00E622D5">
        <w:rPr>
          <w:sz w:val="20"/>
          <w:szCs w:val="20"/>
          <w:lang w:val="pl-PL"/>
        </w:rPr>
        <w:t>HumanTech</w:t>
      </w:r>
      <w:proofErr w:type="spellEnd"/>
      <w:r w:rsidRPr="00E622D5">
        <w:rPr>
          <w:sz w:val="20"/>
          <w:szCs w:val="20"/>
          <w:lang w:val="pl-PL"/>
        </w:rPr>
        <w:t xml:space="preserve"> </w:t>
      </w:r>
      <w:proofErr w:type="spellStart"/>
      <w:r w:rsidRPr="00E622D5">
        <w:rPr>
          <w:sz w:val="20"/>
          <w:szCs w:val="20"/>
          <w:lang w:val="pl-PL"/>
        </w:rPr>
        <w:t>Summit</w:t>
      </w:r>
      <w:proofErr w:type="spellEnd"/>
      <w:r w:rsidRPr="00E622D5">
        <w:rPr>
          <w:sz w:val="20"/>
          <w:szCs w:val="20"/>
          <w:lang w:val="pl-PL"/>
        </w:rPr>
        <w:t xml:space="preserve"> 2025 specjaliści będą rozmawiać o społecznych i psychologicznych aspektach nowych technologii, m.in. o relacjach człowiek-AI, sztucznej inteligencji w miejscu pracy, wpływie nowych technologii na polityki zatrudnienia i rynek pracy, a także o psychologicznych aspektach technologii. Wydarzenie organizuje Centrum Innowacji Społecznych i Technologicznych </w:t>
      </w:r>
      <w:proofErr w:type="spellStart"/>
      <w:r w:rsidRPr="00E622D5">
        <w:rPr>
          <w:sz w:val="20"/>
          <w:szCs w:val="20"/>
          <w:lang w:val="pl-PL"/>
        </w:rPr>
        <w:t>HumanTech</w:t>
      </w:r>
      <w:proofErr w:type="spellEnd"/>
      <w:r w:rsidRPr="00E622D5">
        <w:rPr>
          <w:sz w:val="20"/>
          <w:szCs w:val="20"/>
          <w:lang w:val="pl-PL"/>
        </w:rPr>
        <w:t xml:space="preserve"> USWPS. Szczegóły i bilety dostępne są na </w:t>
      </w:r>
      <w:hyperlink r:id="rId9">
        <w:r w:rsidRPr="00E622D5">
          <w:rPr>
            <w:color w:val="1155CC"/>
            <w:sz w:val="20"/>
            <w:szCs w:val="20"/>
            <w:u w:val="single"/>
            <w:lang w:val="pl-PL"/>
          </w:rPr>
          <w:t>stronie</w:t>
        </w:r>
      </w:hyperlink>
      <w:r w:rsidRPr="00E622D5">
        <w:rPr>
          <w:sz w:val="20"/>
          <w:szCs w:val="20"/>
          <w:lang w:val="pl-PL"/>
        </w:rPr>
        <w:t>.</w:t>
      </w:r>
    </w:p>
    <w:p w14:paraId="21AB7359" w14:textId="77777777" w:rsidR="00DE001E" w:rsidRPr="00E622D5" w:rsidRDefault="00DE001E">
      <w:pPr>
        <w:spacing w:before="1" w:line="300" w:lineRule="auto"/>
        <w:ind w:left="23" w:right="17"/>
        <w:jc w:val="both"/>
        <w:rPr>
          <w:sz w:val="20"/>
          <w:szCs w:val="20"/>
          <w:lang w:val="pl-PL"/>
        </w:rPr>
      </w:pPr>
    </w:p>
    <w:p w14:paraId="4974F200" w14:textId="77777777" w:rsidR="00DE001E" w:rsidRPr="00E622D5" w:rsidRDefault="00ED0DDD">
      <w:pPr>
        <w:widowControl/>
        <w:spacing w:line="276" w:lineRule="auto"/>
        <w:jc w:val="both"/>
        <w:rPr>
          <w:rFonts w:ascii="Arial" w:eastAsia="Arial" w:hAnsi="Arial" w:cs="Arial"/>
          <w:b/>
          <w:bCs/>
          <w:lang w:val="pl-PL"/>
        </w:rPr>
      </w:pPr>
      <w:r w:rsidRPr="00E622D5">
        <w:rPr>
          <w:rFonts w:ascii="Arial" w:eastAsia="Arial" w:hAnsi="Arial" w:cs="Arial"/>
          <w:b/>
          <w:bCs/>
          <w:lang w:val="pl-PL"/>
        </w:rPr>
        <w:t>****</w:t>
      </w:r>
    </w:p>
    <w:p w14:paraId="2674CD95" w14:textId="77777777" w:rsidR="00DE001E" w:rsidRPr="00E622D5" w:rsidRDefault="00DE001E">
      <w:pPr>
        <w:widowControl/>
        <w:spacing w:line="276" w:lineRule="auto"/>
        <w:jc w:val="both"/>
        <w:rPr>
          <w:b/>
          <w:bCs/>
          <w:sz w:val="20"/>
          <w:szCs w:val="20"/>
          <w:lang w:val="pl-PL"/>
        </w:rPr>
      </w:pPr>
    </w:p>
    <w:p w14:paraId="69FF8FF6" w14:textId="77777777" w:rsidR="00DE001E" w:rsidRPr="00E622D5" w:rsidRDefault="00ED0DDD">
      <w:pPr>
        <w:widowControl/>
        <w:spacing w:line="276" w:lineRule="auto"/>
        <w:jc w:val="both"/>
        <w:rPr>
          <w:sz w:val="20"/>
          <w:szCs w:val="20"/>
          <w:lang w:val="pl-PL"/>
        </w:rPr>
      </w:pPr>
      <w:r w:rsidRPr="00E622D5">
        <w:rPr>
          <w:b/>
          <w:bCs/>
          <w:sz w:val="20"/>
          <w:szCs w:val="20"/>
          <w:lang w:val="pl-PL"/>
        </w:rPr>
        <w:t>Uniwersytet SWPS</w:t>
      </w:r>
      <w:r w:rsidRPr="00E622D5">
        <w:rPr>
          <w:sz w:val="20"/>
          <w:szCs w:val="20"/>
          <w:lang w:val="pl-PL"/>
        </w:rPr>
        <w:t xml:space="preserve"> to nowoczesna uczelnia oparta na trwałych wartościach. Silną pozycję zawdzięcza połączeniu wysokiej jakości dydaktyki z badaniami naukowymi prowadzonymi na najwyższym poziomie. Uczelnia kształci blisko 18 tys. studentek i studentów – w tym ponad tysiąc z zagranicy oraz ponad 4,5 tys. słuchaczek i słuchaczy studiów podyplomowych na ponad 50 kierunkach studiów stacjonarnych i ponad 40 niestacjonarnych i ok. 240 kierunkach studiów podyplomowych. Uniwersytet oferuje programy studiów z psychologii, prawa, zarządzania, dziennikarstwa, filologii, kulturoznawstwa, nowych technologii oraz grafiki i wzornictwa, a także edukację w postaci szkoleń i krótkich kursów akademickich. Uczelnia dba o wysoką wartość akademicką naszych programów oraz ich dostosowanie do wymagań zmieniającego się rynku pracy. Kampusy Uniwersytetu SWPS znajdują się w sześciu miastach: Warszawie (siedziba), Wrocławiu, Sopocie, Poznaniu, Katowicach i w Krakowie.</w:t>
      </w:r>
    </w:p>
    <w:p w14:paraId="0C42D179" w14:textId="77777777" w:rsidR="00DE001E" w:rsidRPr="00E622D5" w:rsidRDefault="00DE001E">
      <w:pPr>
        <w:widowControl/>
        <w:spacing w:line="276" w:lineRule="auto"/>
        <w:jc w:val="both"/>
        <w:rPr>
          <w:sz w:val="20"/>
          <w:szCs w:val="20"/>
          <w:lang w:val="pl-PL"/>
        </w:rPr>
      </w:pPr>
    </w:p>
    <w:p w14:paraId="7A6AC128" w14:textId="77777777" w:rsidR="00DE001E" w:rsidRPr="00E622D5" w:rsidRDefault="00ED0DDD">
      <w:pPr>
        <w:widowControl/>
        <w:spacing w:line="276" w:lineRule="auto"/>
        <w:jc w:val="both"/>
        <w:rPr>
          <w:sz w:val="20"/>
          <w:szCs w:val="20"/>
          <w:lang w:val="pl-PL"/>
        </w:rPr>
      </w:pPr>
      <w:r w:rsidRPr="00E622D5">
        <w:rPr>
          <w:sz w:val="20"/>
          <w:szCs w:val="20"/>
          <w:lang w:val="pl-PL"/>
        </w:rPr>
        <w:t>Uczelnia posiada uprawnienia do nadawania stopnia doktora oraz doktora habilitowanego w siedmiu dyscyplinach: psychologia, nauki o kulturze i religii, literaturoznawstwo, nauki prawne, nauki socjologiczne, nauki o polityce i administracji, sztuki plastyczne i konserwacja dzieł sztuki. Na Uniwersytecie SWPS funkcjonuje pięć instytutów naukowych, które zajmują się organizacją i koordynacją działalności naukowej pracowników badawczych i badawczo-dydaktycznych uczelni w poszczególnych dyscyplinach: Instytut Psychologii, Instytut Nauk Humanistycznych, Instytut Nauk Społecznych, Instytut Prawa oraz Instytut Projektowania. W uczelni działa blisko 30 centrów badawczych oraz ponad 175 kół naukowych.</w:t>
      </w:r>
    </w:p>
    <w:p w14:paraId="6C811031" w14:textId="77777777" w:rsidR="00DE001E" w:rsidRPr="00E622D5" w:rsidRDefault="00DE001E">
      <w:pPr>
        <w:widowControl/>
        <w:spacing w:line="276" w:lineRule="auto"/>
        <w:jc w:val="both"/>
        <w:rPr>
          <w:sz w:val="20"/>
          <w:szCs w:val="20"/>
          <w:lang w:val="pl-PL"/>
        </w:rPr>
      </w:pPr>
    </w:p>
    <w:p w14:paraId="2E5720F6" w14:textId="77777777" w:rsidR="00DE001E" w:rsidRPr="00E622D5" w:rsidRDefault="00ED0DDD">
      <w:pPr>
        <w:widowControl/>
        <w:spacing w:line="276" w:lineRule="auto"/>
        <w:jc w:val="both"/>
        <w:rPr>
          <w:sz w:val="20"/>
          <w:szCs w:val="20"/>
          <w:lang w:val="pl-PL"/>
        </w:rPr>
      </w:pPr>
      <w:r w:rsidRPr="00E622D5">
        <w:rPr>
          <w:sz w:val="20"/>
          <w:szCs w:val="20"/>
          <w:lang w:val="pl-PL"/>
        </w:rPr>
        <w:t xml:space="preserve">Uniwersytet SWPS należy do sojuszu </w:t>
      </w:r>
      <w:proofErr w:type="spellStart"/>
      <w:r w:rsidRPr="00E622D5">
        <w:rPr>
          <w:sz w:val="20"/>
          <w:szCs w:val="20"/>
          <w:lang w:val="pl-PL"/>
        </w:rPr>
        <w:t>European</w:t>
      </w:r>
      <w:proofErr w:type="spellEnd"/>
      <w:r w:rsidRPr="00E622D5">
        <w:rPr>
          <w:sz w:val="20"/>
          <w:szCs w:val="20"/>
          <w:lang w:val="pl-PL"/>
        </w:rPr>
        <w:t xml:space="preserve"> Reform University Alliance (ERUA). Jest to sojusz uczelni zawarty w ramach Inicjatywy Uniwersytetów Europejskich, powołanej i finansowanej przez Komisję Europejską.</w:t>
      </w:r>
    </w:p>
    <w:p w14:paraId="5F984C44" w14:textId="77777777" w:rsidR="00DE001E" w:rsidRPr="00E622D5" w:rsidRDefault="00DE001E">
      <w:pPr>
        <w:widowControl/>
        <w:spacing w:line="276" w:lineRule="auto"/>
        <w:jc w:val="both"/>
        <w:rPr>
          <w:sz w:val="20"/>
          <w:szCs w:val="20"/>
          <w:lang w:val="pl-PL"/>
        </w:rPr>
      </w:pPr>
    </w:p>
    <w:sectPr w:rsidR="00DE001E" w:rsidRPr="00E622D5">
      <w:headerReference w:type="even" r:id="rId10"/>
      <w:headerReference w:type="default" r:id="rId11"/>
      <w:footerReference w:type="default" r:id="rId12"/>
      <w:headerReference w:type="first" r:id="rId13"/>
      <w:pgSz w:w="11910" w:h="16840"/>
      <w:pgMar w:top="0" w:right="1701" w:bottom="2835" w:left="1701" w:header="3685" w:footer="1701"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D3731F" w14:textId="77777777" w:rsidR="00056FC2" w:rsidRDefault="00056FC2">
      <w:r>
        <w:separator/>
      </w:r>
    </w:p>
  </w:endnote>
  <w:endnote w:type="continuationSeparator" w:id="0">
    <w:p w14:paraId="79772203" w14:textId="77777777" w:rsidR="00056FC2" w:rsidRDefault="00056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charset w:val="EE"/>
    <w:family w:val="auto"/>
    <w:pitch w:val="variable"/>
    <w:sig w:usb0="2000020F" w:usb1="00000003" w:usb2="00000000" w:usb3="00000000" w:csb0="00000197" w:csb1="00000000"/>
    <w:embedRegular r:id="rId1" w:fontKey="{DDCD479F-A02F-4E97-A1A8-459523913F52}"/>
    <w:embedBold r:id="rId2" w:fontKey="{F6F54EBD-12E8-4838-B2D9-803CA09BB7A5}"/>
  </w:font>
  <w:font w:name="Times New Roman">
    <w:panose1 w:val="02020603050405020304"/>
    <w:charset w:val="EE"/>
    <w:family w:val="roman"/>
    <w:pitch w:val="variable"/>
    <w:sig w:usb0="E0002EFF" w:usb1="C000785B" w:usb2="00000009" w:usb3="00000000" w:csb0="000001FF" w:csb1="00000000"/>
  </w:font>
  <w:font w:name="Allura">
    <w:charset w:val="00"/>
    <w:family w:val="auto"/>
    <w:pitch w:val="default"/>
    <w:embedRegular r:id="rId3" w:fontKey="{6C9AB126-6A2F-4E6A-AD45-2C611F6A32E8}"/>
  </w:font>
  <w:font w:name="Georgia">
    <w:panose1 w:val="02040502050405020303"/>
    <w:charset w:val="EE"/>
    <w:family w:val="roman"/>
    <w:pitch w:val="variable"/>
    <w:sig w:usb0="00000287" w:usb1="00000000" w:usb2="00000000" w:usb3="00000000" w:csb0="0000009F" w:csb1="00000000"/>
    <w:embedItalic r:id="rId4" w:fontKey="{B7159C77-2BB7-4849-95C4-E27FB805E6B2}"/>
  </w:font>
  <w:font w:name="Arial">
    <w:panose1 w:val="020B0604020202020204"/>
    <w:charset w:val="EE"/>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embedBold r:id="rId5" w:fontKey="{81DA99F5-477B-4872-B26D-4CE29C4A98B1}"/>
  </w:font>
  <w:font w:name="Calibri">
    <w:panose1 w:val="020F0502020204030204"/>
    <w:charset w:val="EE"/>
    <w:family w:val="swiss"/>
    <w:pitch w:val="variable"/>
    <w:sig w:usb0="E4002EFF" w:usb1="C200247B" w:usb2="00000009" w:usb3="00000000" w:csb0="000001FF" w:csb1="00000000"/>
    <w:embedRegular r:id="rId6" w:fontKey="{2DB5281A-AD14-4BC8-9047-36BB1F3E8AD3}"/>
  </w:font>
  <w:font w:name="Cambria">
    <w:panose1 w:val="02040503050406030204"/>
    <w:charset w:val="EE"/>
    <w:family w:val="roman"/>
    <w:pitch w:val="variable"/>
    <w:sig w:usb0="E00006FF" w:usb1="420024FF" w:usb2="02000000" w:usb3="00000000" w:csb0="0000019F" w:csb1="00000000"/>
    <w:embedRegular r:id="rId7" w:fontKey="{33F799FB-8B78-4593-B9F2-914248818C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ED9A6" w14:textId="77777777" w:rsidR="00DE001E" w:rsidRDefault="00ED0DDD">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0" distR="0" simplePos="0" relativeHeight="251656704" behindDoc="1" locked="0" layoutInCell="1" hidden="0" allowOverlap="1" wp14:anchorId="101C5863" wp14:editId="2A7793CD">
              <wp:simplePos x="0" y="0"/>
              <wp:positionH relativeFrom="column">
                <wp:posOffset>-4761</wp:posOffset>
              </wp:positionH>
              <wp:positionV relativeFrom="paragraph">
                <wp:posOffset>9571038</wp:posOffset>
              </wp:positionV>
              <wp:extent cx="3571110" cy="427230"/>
              <wp:effectExtent l="0" t="0" r="0" b="0"/>
              <wp:wrapNone/>
              <wp:docPr id="12" name="Prostokąt 12"/>
              <wp:cNvGraphicFramePr/>
              <a:graphic xmlns:a="http://schemas.openxmlformats.org/drawingml/2006/main">
                <a:graphicData uri="http://schemas.microsoft.com/office/word/2010/wordprocessingShape">
                  <wps:wsp>
                    <wps:cNvSpPr/>
                    <wps:spPr>
                      <a:xfrm>
                        <a:off x="3589020" y="3594960"/>
                        <a:ext cx="3513960" cy="370080"/>
                      </a:xfrm>
                      <a:prstGeom prst="rect">
                        <a:avLst/>
                      </a:prstGeom>
                      <a:noFill/>
                      <a:ln>
                        <a:noFill/>
                      </a:ln>
                    </wps:spPr>
                    <wps:txbx>
                      <w:txbxContent>
                        <w:p w14:paraId="5E3028D6" w14:textId="77777777" w:rsidR="00DE001E" w:rsidRDefault="00ED0DDD">
                          <w:pPr>
                            <w:spacing w:line="275" w:lineRule="auto"/>
                            <w:textDirection w:val="btLr"/>
                          </w:pPr>
                          <w:proofErr w:type="spellStart"/>
                          <w:r>
                            <w:rPr>
                              <w:color w:val="000000"/>
                              <w:sz w:val="14"/>
                            </w:rPr>
                            <w:t>Uniwersytet</w:t>
                          </w:r>
                          <w:proofErr w:type="spellEnd"/>
                          <w:r>
                            <w:rPr>
                              <w:color w:val="000000"/>
                              <w:sz w:val="14"/>
                            </w:rPr>
                            <w:t xml:space="preserve"> SWPS</w:t>
                          </w:r>
                        </w:p>
                        <w:p w14:paraId="789B70F5" w14:textId="77777777" w:rsidR="00DE001E" w:rsidRDefault="00ED0DDD">
                          <w:pPr>
                            <w:spacing w:line="275" w:lineRule="auto"/>
                            <w:textDirection w:val="btLr"/>
                          </w:pPr>
                          <w:r>
                            <w:rPr>
                              <w:color w:val="000000"/>
                              <w:sz w:val="14"/>
                            </w:rPr>
                            <w:t xml:space="preserve">ul. </w:t>
                          </w:r>
                          <w:proofErr w:type="spellStart"/>
                          <w:r>
                            <w:rPr>
                              <w:color w:val="000000"/>
                              <w:sz w:val="14"/>
                            </w:rPr>
                            <w:t>Chodakowska</w:t>
                          </w:r>
                          <w:proofErr w:type="spellEnd"/>
                          <w:r>
                            <w:rPr>
                              <w:color w:val="000000"/>
                              <w:sz w:val="14"/>
                            </w:rPr>
                            <w:t xml:space="preserve"> 19/31, 03-815 Warszawa</w:t>
                          </w: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-4761</wp:posOffset>
              </wp:positionH>
              <wp:positionV relativeFrom="paragraph">
                <wp:posOffset>9571038</wp:posOffset>
              </wp:positionV>
              <wp:extent cx="3571110" cy="427230"/>
              <wp:effectExtent b="0" l="0" r="0" t="0"/>
              <wp:wrapNone/>
              <wp:docPr id="12"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3571110" cy="427230"/>
                      </a:xfrm>
                      <a:prstGeom prst="rect"/>
                      <a:ln/>
                    </pic:spPr>
                  </pic:pic>
                </a:graphicData>
              </a:graphic>
            </wp:anchor>
          </w:drawing>
        </mc:Fallback>
      </mc:AlternateContent>
    </w:r>
    <w:r>
      <w:rPr>
        <w:noProof/>
      </w:rPr>
      <mc:AlternateContent>
        <mc:Choice Requires="wpg">
          <w:drawing>
            <wp:anchor distT="0" distB="0" distL="0" distR="0" simplePos="0" relativeHeight="251657728" behindDoc="1" locked="0" layoutInCell="1" hidden="0" allowOverlap="1" wp14:anchorId="486DDE0A" wp14:editId="39EBF2CF">
              <wp:simplePos x="0" y="0"/>
              <wp:positionH relativeFrom="column">
                <wp:posOffset>-906460</wp:posOffset>
              </wp:positionH>
              <wp:positionV relativeFrom="paragraph">
                <wp:posOffset>9825038</wp:posOffset>
              </wp:positionV>
              <wp:extent cx="958950" cy="176670"/>
              <wp:effectExtent l="0" t="0" r="0" b="0"/>
              <wp:wrapNone/>
              <wp:docPr id="13" name="Prostokąt 13"/>
              <wp:cNvGraphicFramePr/>
              <a:graphic xmlns:a="http://schemas.openxmlformats.org/drawingml/2006/main">
                <a:graphicData uri="http://schemas.microsoft.com/office/word/2010/wordprocessingShape">
                  <wps:wsp>
                    <wps:cNvSpPr/>
                    <wps:spPr>
                      <a:xfrm>
                        <a:off x="4895100" y="3720240"/>
                        <a:ext cx="901800" cy="119520"/>
                      </a:xfrm>
                      <a:prstGeom prst="rect">
                        <a:avLst/>
                      </a:prstGeom>
                      <a:noFill/>
                      <a:ln>
                        <a:noFill/>
                      </a:ln>
                    </wps:spPr>
                    <wps:txbx>
                      <w:txbxContent>
                        <w:p w14:paraId="5F799FE7" w14:textId="77777777" w:rsidR="00DE001E" w:rsidRDefault="00ED0DDD">
                          <w:pPr>
                            <w:spacing w:before="20"/>
                            <w:ind w:left="20" w:firstLine="120"/>
                            <w:jc w:val="right"/>
                            <w:textDirection w:val="btLr"/>
                          </w:pPr>
                          <w:r>
                            <w:rPr>
                              <w:b/>
                              <w:color w:val="000000"/>
                              <w:sz w:val="14"/>
                            </w:rPr>
                            <w:t>www.swps.pl</w:t>
                          </w:r>
                        </w:p>
                      </w:txbxContent>
                    </wps:txbx>
                    <wps:bodyPr spcFirstLastPara="1" wrap="square" lIns="0" tIns="0" rIns="0" bIns="0" anchor="b"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-906460</wp:posOffset>
              </wp:positionH>
              <wp:positionV relativeFrom="paragraph">
                <wp:posOffset>9825038</wp:posOffset>
              </wp:positionV>
              <wp:extent cx="958950" cy="176670"/>
              <wp:effectExtent b="0" l="0" r="0" t="0"/>
              <wp:wrapNone/>
              <wp:docPr id="13"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958950" cy="17667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9FF51" w14:textId="77777777" w:rsidR="00056FC2" w:rsidRDefault="00056FC2">
      <w:r>
        <w:separator/>
      </w:r>
    </w:p>
  </w:footnote>
  <w:footnote w:type="continuationSeparator" w:id="0">
    <w:p w14:paraId="48BED173" w14:textId="77777777" w:rsidR="00056FC2" w:rsidRDefault="00056FC2">
      <w:r>
        <w:continuationSeparator/>
      </w:r>
    </w:p>
  </w:footnote>
  <w:footnote w:id="1">
    <w:p w14:paraId="3787905B" w14:textId="77777777" w:rsidR="00DE001E" w:rsidRDefault="00ED0DDD">
      <w:pPr>
        <w:rPr>
          <w:sz w:val="16"/>
          <w:szCs w:val="16"/>
        </w:rPr>
      </w:pPr>
      <w:r>
        <w:rPr>
          <w:vertAlign w:val="superscript"/>
        </w:rPr>
        <w:footnoteRef/>
      </w:r>
      <w:r>
        <w:rPr>
          <w:sz w:val="20"/>
          <w:szCs w:val="20"/>
        </w:rPr>
        <w:t xml:space="preserve"> </w:t>
      </w:r>
      <w:proofErr w:type="spellStart"/>
      <w:r>
        <w:rPr>
          <w:sz w:val="16"/>
          <w:szCs w:val="16"/>
        </w:rPr>
        <w:t>Serholt</w:t>
      </w:r>
      <w:proofErr w:type="spellEnd"/>
      <w:r>
        <w:rPr>
          <w:sz w:val="16"/>
          <w:szCs w:val="16"/>
        </w:rPr>
        <w:t xml:space="preserve">, S., </w:t>
      </w:r>
      <w:proofErr w:type="spellStart"/>
      <w:r>
        <w:rPr>
          <w:sz w:val="16"/>
          <w:szCs w:val="16"/>
        </w:rPr>
        <w:t>Barendregt</w:t>
      </w:r>
      <w:proofErr w:type="spellEnd"/>
      <w:r>
        <w:rPr>
          <w:sz w:val="16"/>
          <w:szCs w:val="16"/>
        </w:rPr>
        <w:t xml:space="preserve">, W., </w:t>
      </w:r>
      <w:proofErr w:type="spellStart"/>
      <w:r>
        <w:rPr>
          <w:sz w:val="16"/>
          <w:szCs w:val="16"/>
        </w:rPr>
        <w:t>Vasalou</w:t>
      </w:r>
      <w:proofErr w:type="spellEnd"/>
      <w:r>
        <w:rPr>
          <w:sz w:val="16"/>
          <w:szCs w:val="16"/>
        </w:rPr>
        <w:t>, A., Alves-Oliveira, P., Jones, A., &amp; Paiva, A. (2016). The case of classroom robots: Teachers’ deliberations on the ethical tensions. AI &amp; Society, 37(4), 613–631. https://doi.org/10.1007/s00146-016-0667-2.</w:t>
      </w:r>
    </w:p>
  </w:footnote>
  <w:footnote w:id="2">
    <w:p w14:paraId="66B9CEB2" w14:textId="77777777" w:rsidR="00DE001E" w:rsidRDefault="00ED0DDD">
      <w:pPr>
        <w:rPr>
          <w:sz w:val="16"/>
          <w:szCs w:val="16"/>
        </w:rPr>
      </w:pPr>
      <w:r>
        <w:rPr>
          <w:vertAlign w:val="superscript"/>
        </w:rPr>
        <w:footnoteRef/>
      </w:r>
      <w:r>
        <w:rPr>
          <w:sz w:val="20"/>
          <w:szCs w:val="20"/>
        </w:rPr>
        <w:t xml:space="preserve"> </w:t>
      </w:r>
      <w:r>
        <w:rPr>
          <w:sz w:val="16"/>
          <w:szCs w:val="16"/>
        </w:rPr>
        <w:t xml:space="preserve">Papadopoulos, I., </w:t>
      </w:r>
      <w:proofErr w:type="spellStart"/>
      <w:r>
        <w:rPr>
          <w:sz w:val="16"/>
          <w:szCs w:val="16"/>
        </w:rPr>
        <w:t>Lazzarino</w:t>
      </w:r>
      <w:proofErr w:type="spellEnd"/>
      <w:r>
        <w:rPr>
          <w:sz w:val="16"/>
          <w:szCs w:val="16"/>
        </w:rPr>
        <w:t xml:space="preserve">, R., Miah, S., Weaver, T., Thomas, B., &amp; </w:t>
      </w:r>
      <w:proofErr w:type="spellStart"/>
      <w:r>
        <w:rPr>
          <w:sz w:val="16"/>
          <w:szCs w:val="16"/>
        </w:rPr>
        <w:t>Koulouglioti</w:t>
      </w:r>
      <w:proofErr w:type="spellEnd"/>
      <w:r>
        <w:rPr>
          <w:sz w:val="16"/>
          <w:szCs w:val="16"/>
        </w:rPr>
        <w:t>, C. (2020). A systematic review of the literature regarding socially assistive robots in pre-tertiary education. Computers &amp; Education, 155, 103924. https://doi.org/10.1016/j.compedu.2020.103924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9844D" w14:textId="77777777" w:rsidR="00DE001E" w:rsidRDefault="00056FC2">
    <w:pPr>
      <w:pBdr>
        <w:top w:val="nil"/>
        <w:left w:val="nil"/>
        <w:bottom w:val="nil"/>
        <w:right w:val="nil"/>
        <w:between w:val="nil"/>
      </w:pBdr>
      <w:tabs>
        <w:tab w:val="center" w:pos="4536"/>
        <w:tab w:val="right" w:pos="9072"/>
      </w:tabs>
      <w:rPr>
        <w:color w:val="000000"/>
      </w:rPr>
    </w:pPr>
    <w:r>
      <w:rPr>
        <w:color w:val="000000"/>
      </w:rPr>
      <w:pict w14:anchorId="2510CB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625.15pt;z-index:-251656704;mso-position-horizontal:center;mso-position-horizontal-relative:margin;mso-position-vertical:center;mso-position-vertical-relative:margin">
          <v:imagedata r:id="rId1" o:title="image4"/>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F127C" w14:textId="77777777" w:rsidR="00DE001E" w:rsidRDefault="00ED0DDD">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55680" behindDoc="1" locked="0" layoutInCell="1" hidden="0" allowOverlap="1" wp14:anchorId="104C1131" wp14:editId="513C447D">
          <wp:simplePos x="0" y="0"/>
          <wp:positionH relativeFrom="page">
            <wp:align>center</wp:align>
          </wp:positionH>
          <wp:positionV relativeFrom="page">
            <wp:align>center</wp:align>
          </wp:positionV>
          <wp:extent cx="7556760" cy="10692000"/>
          <wp:effectExtent l="0" t="0" r="0" b="0"/>
          <wp:wrapNone/>
          <wp:docPr id="14"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56760" cy="1069200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0C658" w14:textId="77777777" w:rsidR="00DE001E" w:rsidRDefault="00056FC2">
    <w:pPr>
      <w:pBdr>
        <w:top w:val="nil"/>
        <w:left w:val="nil"/>
        <w:bottom w:val="nil"/>
        <w:right w:val="nil"/>
        <w:between w:val="nil"/>
      </w:pBdr>
      <w:tabs>
        <w:tab w:val="center" w:pos="4536"/>
        <w:tab w:val="right" w:pos="9072"/>
      </w:tabs>
      <w:rPr>
        <w:color w:val="000000"/>
      </w:rPr>
    </w:pPr>
    <w:r>
      <w:rPr>
        <w:color w:val="000000"/>
      </w:rPr>
      <w:pict w14:anchorId="2BCECC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0" type="#_x0000_t75" alt="" style="position:absolute;margin-left:0;margin-top:0;width:441.9pt;height:625.15pt;z-index:-251657728;mso-position-horizontal:center;mso-position-horizontal-relative:margin;mso-position-vertical:center;mso-position-vertical-relative:margin">
          <v:imagedata r:id="rId1" o:title="image4"/>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001E"/>
    <w:rsid w:val="00056FC2"/>
    <w:rsid w:val="003E1C92"/>
    <w:rsid w:val="00DE001E"/>
    <w:rsid w:val="00E622D5"/>
    <w:rsid w:val="00ED0DD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DE76946"/>
  <w15:docId w15:val="{EF52066E-F3DB-458D-86B5-2A25E80A8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w:eastAsia="Montserrat" w:hAnsi="Montserrat" w:cs="Montserrat"/>
        <w:sz w:val="22"/>
        <w:szCs w:val="22"/>
        <w:lang w:val="en"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before="480" w:after="120"/>
      <w:outlineLvl w:val="0"/>
    </w:pPr>
    <w:rPr>
      <w:b/>
      <w:bCs/>
      <w:color w:val="000000"/>
      <w:sz w:val="48"/>
      <w:szCs w:val="48"/>
    </w:rPr>
  </w:style>
  <w:style w:type="paragraph" w:styleId="Nagwek2">
    <w:name w:val="heading 2"/>
    <w:basedOn w:val="Normalny"/>
    <w:next w:val="Normalny"/>
    <w:uiPriority w:val="9"/>
    <w:semiHidden/>
    <w:unhideWhenUsed/>
    <w:qFormat/>
    <w:pPr>
      <w:keepNext/>
      <w:keepLines/>
      <w:pBdr>
        <w:top w:val="nil"/>
        <w:left w:val="nil"/>
        <w:bottom w:val="nil"/>
        <w:right w:val="nil"/>
        <w:between w:val="nil"/>
      </w:pBdr>
      <w:spacing w:before="360" w:after="80"/>
      <w:outlineLvl w:val="1"/>
    </w:pPr>
    <w:rPr>
      <w:b/>
      <w:bCs/>
      <w:color w:val="000000"/>
      <w:sz w:val="36"/>
      <w:szCs w:val="36"/>
    </w:rPr>
  </w:style>
  <w:style w:type="paragraph" w:styleId="Nagwek3">
    <w:name w:val="heading 3"/>
    <w:basedOn w:val="Normalny"/>
    <w:next w:val="Normalny"/>
    <w:uiPriority w:val="9"/>
    <w:semiHidden/>
    <w:unhideWhenUsed/>
    <w:qFormat/>
    <w:pPr>
      <w:keepNext/>
      <w:keepLines/>
      <w:pBdr>
        <w:top w:val="nil"/>
        <w:left w:val="nil"/>
        <w:bottom w:val="nil"/>
        <w:right w:val="nil"/>
        <w:between w:val="nil"/>
      </w:pBdr>
      <w:spacing w:before="280" w:after="80"/>
      <w:outlineLvl w:val="2"/>
    </w:pPr>
    <w:rPr>
      <w:b/>
      <w:bCs/>
      <w:color w:val="000000"/>
      <w:sz w:val="28"/>
      <w:szCs w:val="28"/>
    </w:rPr>
  </w:style>
  <w:style w:type="paragraph" w:styleId="Nagwek4">
    <w:name w:val="heading 4"/>
    <w:basedOn w:val="Normalny"/>
    <w:next w:val="Normalny"/>
    <w:uiPriority w:val="9"/>
    <w:semiHidden/>
    <w:unhideWhenUsed/>
    <w:qFormat/>
    <w:pPr>
      <w:keepNext/>
      <w:keepLines/>
      <w:pBdr>
        <w:top w:val="nil"/>
        <w:left w:val="nil"/>
        <w:bottom w:val="nil"/>
        <w:right w:val="nil"/>
        <w:between w:val="nil"/>
      </w:pBdr>
      <w:spacing w:before="240" w:after="40"/>
      <w:outlineLvl w:val="3"/>
    </w:pPr>
    <w:rPr>
      <w:b/>
      <w:bCs/>
      <w:color w:val="000000"/>
      <w:sz w:val="24"/>
      <w:szCs w:val="24"/>
    </w:rPr>
  </w:style>
  <w:style w:type="paragraph" w:styleId="Nagwek5">
    <w:name w:val="heading 5"/>
    <w:basedOn w:val="Normalny"/>
    <w:next w:val="Normalny"/>
    <w:uiPriority w:val="9"/>
    <w:semiHidden/>
    <w:unhideWhenUsed/>
    <w:qFormat/>
    <w:pPr>
      <w:keepNext/>
      <w:keepLines/>
      <w:pBdr>
        <w:top w:val="nil"/>
        <w:left w:val="nil"/>
        <w:bottom w:val="nil"/>
        <w:right w:val="nil"/>
        <w:between w:val="nil"/>
      </w:pBdr>
      <w:spacing w:before="220" w:after="40"/>
      <w:outlineLvl w:val="4"/>
    </w:pPr>
    <w:rPr>
      <w:b/>
      <w:bCs/>
      <w:color w:val="000000"/>
    </w:rPr>
  </w:style>
  <w:style w:type="paragraph" w:styleId="Nagwek6">
    <w:name w:val="heading 6"/>
    <w:basedOn w:val="Normalny"/>
    <w:next w:val="Normalny"/>
    <w:uiPriority w:val="9"/>
    <w:semiHidden/>
    <w:unhideWhenUsed/>
    <w:qFormat/>
    <w:pPr>
      <w:keepNext/>
      <w:keepLines/>
      <w:pBdr>
        <w:top w:val="nil"/>
        <w:left w:val="nil"/>
        <w:bottom w:val="nil"/>
        <w:right w:val="nil"/>
        <w:between w:val="nil"/>
      </w:pBdr>
      <w:spacing w:before="200" w:after="40"/>
      <w:outlineLvl w:val="5"/>
    </w:pPr>
    <w:rPr>
      <w:b/>
      <w:b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before="25"/>
      <w:ind w:left="20"/>
    </w:pPr>
    <w:rPr>
      <w:rFonts w:ascii="Allura" w:eastAsia="Allura" w:hAnsi="Allura" w:cs="Allura"/>
      <w:sz w:val="59"/>
      <w:szCs w:val="59"/>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ciencedirect.com/science/article/abs/pii/S0360131525002131?via%3Dihub"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humantechsummit.com/"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humantechsummit.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4tZBtFPAcssHCzynTWpjQMwDpA==">CgMxLjA4AHIhMWdXM2FIRnpiVjJEcmU0RGRmMXotc0Q3dldMTFVPeFRT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1250</Words>
  <Characters>7505</Characters>
  <Application>Microsoft Office Word</Application>
  <DocSecurity>0</DocSecurity>
  <Lines>62</Lines>
  <Paragraphs>17</Paragraphs>
  <ScaleCrop>false</ScaleCrop>
  <Company>Uniwersytet SWPS</Company>
  <LinksUpToDate>false</LinksUpToDate>
  <CharactersWithSpaces>8738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Danowska-Kisiel</cp:lastModifiedBy>
  <cp:revision>4</cp:revision>
  <dcterms:created xsi:type="dcterms:W3CDTF">2025-11-14T08:31:00Z</dcterms:created>
  <dcterms:modified xsi:type="dcterms:W3CDTF">2025-11-17T11:22:00Z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2021-08-23T00:00:00Z</vt:lpwstr>
  </property>
  <property fmtid="{D5CDD505-2E9C-101B-9397-08002B2CF9AE}" pid="3" name="Creator">
    <vt:lpwstr>Adobe Illustrator 25.0 (Macintosh)</vt:lpwstr>
  </property>
  <property fmtid="{D5CDD505-2E9C-101B-9397-08002B2CF9AE}" pid="4" name="Created">
    <vt:lpwstr>2021-08-23T00:00:00Z</vt:lpwstr>
  </property>
</Properties>
</file>